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color w:val="000000" w:themeColor="text1"/>
          <w:sz w:val="30"/>
          <w:szCs w:val="30"/>
          <w14:textFill>
            <w14:solidFill>
              <w14:schemeClr w14:val="tx1"/>
            </w14:solidFill>
          </w14:textFill>
        </w:rPr>
      </w:pPr>
      <w:bookmarkStart w:id="0" w:name="_GoBack"/>
      <w:bookmarkEnd w:id="0"/>
      <w:r>
        <w:rPr>
          <w:rFonts w:hint="eastAsia" w:ascii="仿宋_GB2312" w:eastAsia="仿宋_GB2312"/>
          <w:b/>
          <w:bCs/>
          <w:color w:val="000000" w:themeColor="text1"/>
          <w:sz w:val="30"/>
          <w:szCs w:val="30"/>
          <w14:textFill>
            <w14:solidFill>
              <w14:schemeClr w14:val="tx1"/>
            </w14:solidFill>
          </w14:textFill>
        </w:rPr>
        <w:t>附件</w:t>
      </w:r>
      <w:r>
        <w:rPr>
          <w:rFonts w:hint="eastAsia" w:ascii="仿宋_GB2312" w:eastAsia="仿宋_GB2312"/>
          <w:b/>
          <w:bCs/>
          <w:color w:val="000000" w:themeColor="text1"/>
          <w:sz w:val="30"/>
          <w:szCs w:val="30"/>
          <w:lang w:val="en-US" w:eastAsia="zh-CN"/>
          <w14:textFill>
            <w14:solidFill>
              <w14:schemeClr w14:val="tx1"/>
            </w14:solidFill>
          </w14:textFill>
        </w:rPr>
        <w:t>1</w:t>
      </w:r>
      <w:r>
        <w:rPr>
          <w:rFonts w:hint="eastAsia" w:ascii="仿宋_GB2312" w:eastAsia="仿宋_GB2312"/>
          <w:b/>
          <w:bCs/>
          <w:color w:val="000000" w:themeColor="text1"/>
          <w:sz w:val="30"/>
          <w:szCs w:val="30"/>
          <w14:textFill>
            <w14:solidFill>
              <w14:schemeClr w14:val="tx1"/>
            </w14:solidFill>
          </w14:textFill>
        </w:rPr>
        <w:t>：</w:t>
      </w:r>
    </w:p>
    <w:p>
      <w:pPr>
        <w:snapToGrid w:val="0"/>
        <w:spacing w:before="156" w:beforeLines="50" w:after="156" w:afterLines="50" w:line="300" w:lineRule="auto"/>
        <w:jc w:val="center"/>
        <w:rPr>
          <w:rFonts w:ascii="仿宋_GB2312" w:eastAsia="仿宋_GB2312"/>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3</w:t>
      </w:r>
      <w:r>
        <w:rPr>
          <w:rFonts w:hint="eastAsia" w:ascii="宋体" w:hAnsi="宋体" w:eastAsia="宋体" w:cs="宋体"/>
          <w:b/>
          <w:bCs/>
          <w:color w:val="000000" w:themeColor="text1"/>
          <w:sz w:val="36"/>
          <w:szCs w:val="36"/>
          <w14:textFill>
            <w14:solidFill>
              <w14:schemeClr w14:val="tx1"/>
            </w14:solidFill>
          </w14:textFill>
        </w:rPr>
        <w:t>年度佛山市和谐劳动关系企业、标杆企业申报表</w:t>
      </w:r>
    </w:p>
    <w:tbl>
      <w:tblPr>
        <w:tblStyle w:val="4"/>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573"/>
        <w:gridCol w:w="110"/>
        <w:gridCol w:w="1563"/>
        <w:gridCol w:w="1675"/>
        <w:gridCol w:w="170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83" w:type="dxa"/>
          </w:tcPr>
          <w:p>
            <w:pPr>
              <w:adjustRightInd w:val="0"/>
              <w:snapToGrid w:val="0"/>
              <w:spacing w:before="62" w:before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企业名称</w:t>
            </w:r>
          </w:p>
          <w:p>
            <w:pPr>
              <w:adjustRightInd w:val="0"/>
              <w:snapToGrid w:val="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（盖章）</w:t>
            </w:r>
          </w:p>
        </w:tc>
        <w:tc>
          <w:tcPr>
            <w:tcW w:w="8369" w:type="dxa"/>
            <w:gridSpan w:val="6"/>
          </w:tcPr>
          <w:p>
            <w:pPr>
              <w:adjustRightInd w:val="0"/>
              <w:snapToGrid w:val="0"/>
              <w:spacing w:before="62" w:beforeLines="20" w:line="30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通讯地址</w:t>
            </w:r>
          </w:p>
        </w:tc>
        <w:tc>
          <w:tcPr>
            <w:tcW w:w="8369" w:type="dxa"/>
            <w:gridSpan w:val="6"/>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top"/>
          </w:tcPr>
          <w:p>
            <w:pPr>
              <w:adjustRightInd w:val="0"/>
              <w:snapToGrid w:val="0"/>
              <w:spacing w:before="62" w:beforeLines="20" w:after="62" w:afterLines="20" w:line="30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所属区、镇街</w:t>
            </w:r>
          </w:p>
        </w:tc>
        <w:tc>
          <w:tcPr>
            <w:tcW w:w="4921" w:type="dxa"/>
            <w:gridSpan w:val="4"/>
            <w:vAlign w:val="top"/>
          </w:tcPr>
          <w:p>
            <w:pPr>
              <w:adjustRightInd w:val="0"/>
              <w:snapToGrid w:val="0"/>
              <w:spacing w:before="62" w:beforeLines="20" w:after="62" w:afterLines="20" w:line="30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704" w:type="dxa"/>
            <w:vAlign w:val="top"/>
          </w:tcPr>
          <w:p>
            <w:pPr>
              <w:adjustRightInd w:val="0"/>
              <w:snapToGrid w:val="0"/>
              <w:spacing w:before="62" w:beforeLines="20" w:after="62" w:afterLines="20" w:line="30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所属行业</w:t>
            </w:r>
          </w:p>
        </w:tc>
        <w:tc>
          <w:tcPr>
            <w:tcW w:w="1744"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企业类型</w:t>
            </w:r>
          </w:p>
        </w:tc>
        <w:tc>
          <w:tcPr>
            <w:tcW w:w="4921" w:type="dxa"/>
            <w:gridSpan w:val="4"/>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704"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员工总数</w:t>
            </w:r>
          </w:p>
        </w:tc>
        <w:tc>
          <w:tcPr>
            <w:tcW w:w="1744"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6" w:type="dxa"/>
            <w:gridSpan w:val="3"/>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是否有</w:t>
            </w:r>
            <w:r>
              <w:rPr>
                <w:rFonts w:hint="eastAsia" w:ascii="仿宋" w:hAnsi="仿宋" w:eastAsia="仿宋" w:cs="仿宋"/>
                <w:b/>
                <w:bCs/>
                <w:color w:val="000000" w:themeColor="text1"/>
                <w:sz w:val="24"/>
                <w14:textFill>
                  <w14:solidFill>
                    <w14:schemeClr w14:val="tx1"/>
                  </w14:solidFill>
                </w14:textFill>
              </w:rPr>
              <w:t>一票否决情况</w:t>
            </w:r>
          </w:p>
        </w:tc>
        <w:tc>
          <w:tcPr>
            <w:tcW w:w="3238" w:type="dxa"/>
            <w:gridSpan w:val="2"/>
          </w:tcPr>
          <w:p>
            <w:pPr>
              <w:adjustRightInd w:val="0"/>
              <w:snapToGrid w:val="0"/>
              <w:spacing w:before="62" w:beforeLines="20" w:after="62" w:afterLines="20" w:line="30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 xml:space="preserve">是  </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否</w:t>
            </w:r>
          </w:p>
        </w:tc>
        <w:tc>
          <w:tcPr>
            <w:tcW w:w="1704" w:type="dxa"/>
            <w:vAlign w:val="top"/>
          </w:tcPr>
          <w:p>
            <w:pPr>
              <w:adjustRightInd w:val="0"/>
              <w:snapToGrid w:val="0"/>
              <w:spacing w:before="62" w:beforeLines="20" w:after="62" w:afterLines="20" w:line="30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是否有工会</w:t>
            </w:r>
          </w:p>
        </w:tc>
        <w:tc>
          <w:tcPr>
            <w:tcW w:w="1744" w:type="dxa"/>
            <w:vAlign w:val="top"/>
          </w:tcPr>
          <w:p>
            <w:pPr>
              <w:adjustRightInd w:val="0"/>
              <w:snapToGrid w:val="0"/>
              <w:spacing w:before="62" w:beforeLines="20" w:after="62" w:afterLines="20" w:line="30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 xml:space="preserve">是  </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6" w:type="dxa"/>
            <w:gridSpan w:val="3"/>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2022年9月-2023年8月</w:t>
            </w:r>
          </w:p>
          <w:p>
            <w:pPr>
              <w:adjustRightInd w:val="0"/>
              <w:snapToGrid w:val="0"/>
              <w:spacing w:before="62" w:beforeLines="20" w:after="62" w:afterLines="20" w:line="300" w:lineRule="auto"/>
              <w:jc w:val="center"/>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劳动争议仲裁案件数量</w:t>
            </w:r>
          </w:p>
        </w:tc>
        <w:tc>
          <w:tcPr>
            <w:tcW w:w="6686" w:type="dxa"/>
            <w:gridSpan w:val="4"/>
            <w:vAlign w:val="center"/>
          </w:tcPr>
          <w:p>
            <w:pPr>
              <w:adjustRightInd w:val="0"/>
              <w:snapToGrid w:val="0"/>
              <w:spacing w:before="62" w:beforeLines="20" w:after="62" w:afterLines="20" w:line="30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052" w:type="dxa"/>
            <w:gridSpan w:val="7"/>
          </w:tcPr>
          <w:p>
            <w:pPr>
              <w:snapToGrid w:val="0"/>
              <w:spacing w:before="156" w:beforeLines="50" w:line="360" w:lineRule="auto"/>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申报类型</w:t>
            </w:r>
            <w:r>
              <w:rPr>
                <w:rFonts w:hint="eastAsia" w:ascii="仿宋" w:hAnsi="仿宋" w:eastAsia="仿宋" w:cs="仿宋"/>
                <w:b/>
                <w:bCs/>
                <w:color w:val="000000" w:themeColor="text1"/>
                <w:sz w:val="24"/>
                <w14:textFill>
                  <w14:solidFill>
                    <w14:schemeClr w14:val="tx1"/>
                  </w14:solidFill>
                </w14:textFill>
              </w:rPr>
              <w:t>：</w:t>
            </w:r>
          </w:p>
          <w:p>
            <w:pPr>
              <w:snapToGrid w:val="0"/>
              <w:spacing w:before="156" w:beforeLines="50" w:line="360" w:lineRule="auto"/>
              <w:ind w:firstLine="480" w:firstLineChars="200"/>
              <w:jc w:val="left"/>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sym w:font="Wingdings" w:char="00A8"/>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佛山市和谐劳动关系企业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自评得分：</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snapToGrid w:val="0"/>
              <w:spacing w:before="156" w:beforeLines="50"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sym w:font="Wingdings" w:char="00A8"/>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佛山市和谐劳动关系标杆企业</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自评得分：</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573"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姓名</w:t>
            </w:r>
          </w:p>
        </w:tc>
        <w:tc>
          <w:tcPr>
            <w:tcW w:w="1673" w:type="dxa"/>
            <w:gridSpan w:val="2"/>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职务</w:t>
            </w:r>
          </w:p>
        </w:tc>
        <w:tc>
          <w:tcPr>
            <w:tcW w:w="1675"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手机号码</w:t>
            </w:r>
          </w:p>
        </w:tc>
        <w:tc>
          <w:tcPr>
            <w:tcW w:w="1704"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固话</w:t>
            </w:r>
          </w:p>
        </w:tc>
        <w:tc>
          <w:tcPr>
            <w:tcW w:w="1744"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企业负责人</w:t>
            </w:r>
          </w:p>
        </w:tc>
        <w:tc>
          <w:tcPr>
            <w:tcW w:w="1573"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673" w:type="dxa"/>
            <w:gridSpan w:val="2"/>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675"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704"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744"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adjustRightInd w:val="0"/>
              <w:snapToGrid w:val="0"/>
              <w:spacing w:before="62" w:beforeLines="20" w:after="62" w:afterLines="20" w:line="30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联系人</w:t>
            </w:r>
          </w:p>
        </w:tc>
        <w:tc>
          <w:tcPr>
            <w:tcW w:w="1573"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673" w:type="dxa"/>
            <w:gridSpan w:val="2"/>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675"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704"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c>
          <w:tcPr>
            <w:tcW w:w="1744" w:type="dxa"/>
          </w:tcPr>
          <w:p>
            <w:pPr>
              <w:adjustRightInd w:val="0"/>
              <w:snapToGrid w:val="0"/>
              <w:spacing w:before="62" w:beforeLines="20" w:after="62" w:afterLines="20" w:line="30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052" w:type="dxa"/>
            <w:gridSpan w:val="7"/>
          </w:tcPr>
          <w:p>
            <w:pPr>
              <w:pStyle w:val="6"/>
              <w:jc w:val="center"/>
              <w:rPr>
                <w:rFonts w:hint="eastAsia" w:ascii="仿宋" w:hAnsi="仿宋" w:eastAsia="仿宋" w:cs="仿宋"/>
                <w:color w:val="000000" w:themeColor="text1"/>
                <w:sz w:val="24"/>
                <w:lang w:eastAsia="zh-CN"/>
                <w14:textFill>
                  <w14:solidFill>
                    <w14:schemeClr w14:val="tx1"/>
                  </w14:solidFill>
                </w14:textFill>
              </w:rPr>
            </w:pPr>
          </w:p>
          <w:p>
            <w:pPr>
              <w:pStyle w:val="6"/>
              <w:jc w:val="center"/>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材料真实情况承诺函</w:t>
            </w:r>
          </w:p>
          <w:p>
            <w:pPr>
              <w:pStyle w:val="6"/>
              <w:jc w:val="center"/>
              <w:rPr>
                <w:rFonts w:hint="eastAsia" w:ascii="仿宋" w:hAnsi="仿宋" w:eastAsia="仿宋" w:cs="仿宋"/>
                <w:color w:val="000000" w:themeColor="text1"/>
                <w:sz w:val="24"/>
                <w:lang w:eastAsia="zh-CN"/>
                <w14:textFill>
                  <w14:solidFill>
                    <w14:schemeClr w14:val="tx1"/>
                  </w14:solidFill>
                </w14:textFill>
              </w:rPr>
            </w:pPr>
          </w:p>
          <w:p>
            <w:pPr>
              <w:pStyle w:val="6"/>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我</w:t>
            </w:r>
            <w:r>
              <w:rPr>
                <w:rFonts w:hint="eastAsia" w:ascii="仿宋" w:hAnsi="仿宋" w:eastAsia="仿宋" w:cs="仿宋"/>
                <w:color w:val="000000" w:themeColor="text1"/>
                <w:sz w:val="24"/>
                <w14:textFill>
                  <w14:solidFill>
                    <w14:schemeClr w14:val="tx1"/>
                  </w14:solidFill>
                </w14:textFill>
              </w:rPr>
              <w:t>企业自愿</w:t>
            </w:r>
            <w:r>
              <w:rPr>
                <w:rFonts w:hint="eastAsia" w:ascii="仿宋" w:hAnsi="仿宋" w:eastAsia="仿宋" w:cs="仿宋"/>
                <w:color w:val="000000" w:themeColor="text1"/>
                <w:sz w:val="24"/>
                <w:lang w:eastAsia="zh-CN"/>
                <w14:textFill>
                  <w14:solidFill>
                    <w14:schemeClr w14:val="tx1"/>
                  </w14:solidFill>
                </w14:textFill>
              </w:rPr>
              <w:t>参与</w:t>
            </w:r>
            <w:r>
              <w:rPr>
                <w:rFonts w:hint="eastAsia" w:ascii="仿宋" w:hAnsi="仿宋" w:eastAsia="仿宋" w:cs="仿宋"/>
                <w:color w:val="000000" w:themeColor="text1"/>
                <w:sz w:val="24"/>
                <w14:textFill>
                  <w14:solidFill>
                    <w14:schemeClr w14:val="tx1"/>
                  </w14:solidFill>
                </w14:textFill>
              </w:rPr>
              <w:t>2023年度佛山市和谐劳动关系企业、标杆企业</w:t>
            </w:r>
            <w:r>
              <w:rPr>
                <w:rFonts w:hint="eastAsia" w:ascii="仿宋" w:hAnsi="仿宋" w:eastAsia="仿宋" w:cs="仿宋"/>
                <w:color w:val="000000" w:themeColor="text1"/>
                <w:sz w:val="24"/>
                <w:lang w:eastAsia="zh-CN"/>
                <w14:textFill>
                  <w14:solidFill>
                    <w14:schemeClr w14:val="tx1"/>
                  </w14:solidFill>
                </w14:textFill>
              </w:rPr>
              <w:t>活动。</w:t>
            </w:r>
            <w:r>
              <w:rPr>
                <w:rFonts w:hint="eastAsia" w:ascii="仿宋" w:hAnsi="仿宋" w:eastAsia="仿宋" w:cs="仿宋"/>
                <w:color w:val="000000" w:themeColor="text1"/>
                <w:sz w:val="24"/>
                <w14:textFill>
                  <w14:solidFill>
                    <w14:schemeClr w14:val="tx1"/>
                  </w14:solidFill>
                </w14:textFill>
              </w:rPr>
              <w:t>我方愿意承诺</w:t>
            </w:r>
            <w:r>
              <w:rPr>
                <w:rFonts w:hint="eastAsia" w:ascii="仿宋" w:hAnsi="仿宋" w:eastAsia="仿宋" w:cs="仿宋"/>
                <w:color w:val="000000" w:themeColor="text1"/>
                <w:sz w:val="24"/>
                <w:lang w:eastAsia="zh-CN"/>
                <w14:textFill>
                  <w14:solidFill>
                    <w14:schemeClr w14:val="tx1"/>
                  </w14:solidFill>
                </w14:textFill>
              </w:rPr>
              <w:t>申报</w:t>
            </w:r>
            <w:r>
              <w:rPr>
                <w:rFonts w:hint="eastAsia" w:ascii="仿宋" w:hAnsi="仿宋" w:eastAsia="仿宋" w:cs="仿宋"/>
                <w:color w:val="000000" w:themeColor="text1"/>
                <w:sz w:val="24"/>
                <w14:textFill>
                  <w14:solidFill>
                    <w14:schemeClr w14:val="tx1"/>
                  </w14:solidFill>
                </w14:textFill>
              </w:rPr>
              <w:t>材料的真实性，如出现违反承诺的情况，我方愿意接受公开通报，并承担由此带来的法律后果。</w:t>
            </w:r>
          </w:p>
          <w:p>
            <w:pPr>
              <w:rPr>
                <w:rFonts w:hint="eastAsia" w:ascii="仿宋" w:hAnsi="仿宋" w:eastAsia="仿宋" w:cs="仿宋"/>
                <w:color w:val="000000" w:themeColor="text1"/>
                <w:sz w:val="24"/>
                <w14:textFill>
                  <w14:solidFill>
                    <w14:schemeClr w14:val="tx1"/>
                  </w14:solidFill>
                </w14:textFill>
              </w:rPr>
            </w:pPr>
          </w:p>
          <w:p>
            <w:pPr>
              <w:ind w:firstLine="5520" w:firstLineChars="23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企业负责人签字：</w:t>
            </w:r>
          </w:p>
          <w:p>
            <w:pPr>
              <w:ind w:firstLine="5520" w:firstLineChars="2300"/>
              <w:jc w:val="left"/>
              <w:rPr>
                <w:rFonts w:hint="eastAsia" w:ascii="仿宋" w:hAnsi="仿宋" w:eastAsia="仿宋" w:cs="仿宋"/>
                <w:color w:val="000000" w:themeColor="text1"/>
                <w:sz w:val="24"/>
                <w14:textFill>
                  <w14:solidFill>
                    <w14:schemeClr w14:val="tx1"/>
                  </w14:solidFill>
                </w14:textFill>
              </w:rPr>
            </w:pPr>
          </w:p>
          <w:p>
            <w:pPr>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052" w:type="dxa"/>
            <w:gridSpan w:val="7"/>
          </w:tcPr>
          <w:p>
            <w:pPr>
              <w:snapToGrid w:val="0"/>
              <w:spacing w:before="156" w:beforeLines="5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推荐单位意见：</w:t>
            </w:r>
          </w:p>
          <w:p>
            <w:pPr>
              <w:snapToGrid w:val="0"/>
              <w:spacing w:before="156" w:beforeLines="50"/>
              <w:jc w:val="left"/>
              <w:rPr>
                <w:rFonts w:hint="eastAsia" w:ascii="仿宋" w:hAnsi="仿宋" w:eastAsia="仿宋" w:cs="仿宋"/>
                <w:color w:val="FF0000"/>
                <w:sz w:val="24"/>
              </w:rPr>
            </w:pPr>
            <w:r>
              <w:rPr>
                <w:rFonts w:hint="eastAsia" w:ascii="仿宋" w:hAnsi="仿宋" w:eastAsia="仿宋" w:cs="仿宋"/>
                <w:color w:val="FF0000"/>
                <w:sz w:val="24"/>
              </w:rPr>
              <w:t>（选填）</w:t>
            </w:r>
          </w:p>
          <w:p>
            <w:pPr>
              <w:jc w:val="left"/>
              <w:rPr>
                <w:rFonts w:hint="eastAsia" w:ascii="仿宋" w:hAnsi="仿宋" w:eastAsia="仿宋" w:cs="仿宋"/>
                <w:color w:val="000000" w:themeColor="text1"/>
                <w:sz w:val="24"/>
                <w14:textFill>
                  <w14:solidFill>
                    <w14:schemeClr w14:val="tx1"/>
                  </w14:solidFill>
                </w14:textFill>
              </w:rPr>
            </w:pPr>
          </w:p>
          <w:p>
            <w:pPr>
              <w:jc w:val="left"/>
              <w:rPr>
                <w:rFonts w:hint="eastAsia" w:ascii="仿宋" w:hAnsi="仿宋" w:eastAsia="仿宋" w:cs="仿宋"/>
                <w:color w:val="000000" w:themeColor="text1"/>
                <w:sz w:val="24"/>
                <w14:textFill>
                  <w14:solidFill>
                    <w14:schemeClr w14:val="tx1"/>
                  </w14:solidFill>
                </w14:textFill>
              </w:rPr>
            </w:pPr>
          </w:p>
          <w:p>
            <w:pPr>
              <w:ind w:firstLine="5280" w:firstLineChars="2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单位名称</w:t>
            </w:r>
            <w:r>
              <w:rPr>
                <w:rFonts w:hint="eastAsia" w:ascii="仿宋" w:hAnsi="仿宋" w:eastAsia="仿宋" w:cs="仿宋"/>
                <w:color w:val="000000" w:themeColor="text1"/>
                <w:sz w:val="24"/>
                <w:lang w:eastAsia="zh-CN"/>
                <w14:textFill>
                  <w14:solidFill>
                    <w14:schemeClr w14:val="tx1"/>
                  </w14:solidFill>
                </w14:textFill>
              </w:rPr>
              <w:t>（盖章）</w:t>
            </w:r>
            <w:r>
              <w:rPr>
                <w:rFonts w:hint="eastAsia" w:ascii="仿宋" w:hAnsi="仿宋" w:eastAsia="仿宋" w:cs="仿宋"/>
                <w:color w:val="000000" w:themeColor="text1"/>
                <w:sz w:val="24"/>
                <w14:textFill>
                  <w14:solidFill>
                    <w14:schemeClr w14:val="tx1"/>
                  </w14:solidFill>
                </w14:textFill>
              </w:rPr>
              <w:t>：</w:t>
            </w:r>
          </w:p>
          <w:p>
            <w:pPr>
              <w:ind w:firstLine="5280" w:firstLineChars="2200"/>
              <w:jc w:val="left"/>
              <w:rPr>
                <w:rFonts w:hint="eastAsia" w:ascii="仿宋" w:hAnsi="仿宋" w:eastAsia="仿宋" w:cs="仿宋"/>
                <w:color w:val="000000" w:themeColor="text1"/>
                <w:sz w:val="24"/>
                <w14:textFill>
                  <w14:solidFill>
                    <w14:schemeClr w14:val="tx1"/>
                  </w14:solidFill>
                </w14:textFill>
              </w:rPr>
            </w:pPr>
          </w:p>
          <w:p>
            <w:pPr>
              <w:ind w:firstLine="7680" w:firstLineChars="3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52" w:type="dxa"/>
            <w:gridSpan w:val="7"/>
          </w:tcPr>
          <w:p>
            <w:pPr>
              <w:tabs>
                <w:tab w:val="left" w:pos="3099"/>
              </w:tabs>
              <w:snapToGrid w:val="0"/>
              <w:spacing w:before="156" w:beforeLines="50" w:after="156" w:afterLines="50"/>
              <w:jc w:val="center"/>
              <w:rPr>
                <w:rFonts w:hint="eastAsia" w:ascii="仿宋" w:hAnsi="仿宋" w:eastAsia="仿宋" w:cs="仿宋"/>
                <w:b/>
                <w:bCs/>
                <w:sz w:val="24"/>
                <w:szCs w:val="24"/>
              </w:rPr>
            </w:pPr>
            <w:r>
              <w:rPr>
                <w:rFonts w:hint="eastAsia" w:ascii="仿宋" w:hAnsi="仿宋" w:eastAsia="仿宋" w:cs="仿宋"/>
                <w:b/>
                <w:bCs/>
                <w:color w:val="000000" w:themeColor="text1"/>
                <w:sz w:val="24"/>
                <w:szCs w:val="24"/>
                <w:lang w:eastAsia="zh-CN"/>
                <w14:textFill>
                  <w14:solidFill>
                    <w14:schemeClr w14:val="tx1"/>
                  </w14:solidFill>
                </w14:textFill>
              </w:rPr>
              <w:t>企业根据评价标准展开相关情况报告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052" w:type="dxa"/>
            <w:gridSpan w:val="7"/>
          </w:tcPr>
          <w:p>
            <w:pPr>
              <w:tabs>
                <w:tab w:val="left" w:pos="3099"/>
              </w:tabs>
              <w:adjustRightInd w:val="0"/>
              <w:snapToGrid w:val="0"/>
              <w:spacing w:line="360" w:lineRule="auto"/>
              <w:jc w:val="left"/>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必填</w:t>
            </w:r>
            <w:r>
              <w:rPr>
                <w:rFonts w:hint="eastAsia" w:ascii="仿宋" w:hAnsi="仿宋" w:eastAsia="仿宋" w:cs="仿宋"/>
                <w:color w:val="FF0000"/>
                <w:sz w:val="24"/>
                <w:szCs w:val="24"/>
                <w:lang w:eastAsia="zh-CN"/>
              </w:rPr>
              <w:t>）</w:t>
            </w:r>
          </w:p>
          <w:p>
            <w:pPr>
              <w:tabs>
                <w:tab w:val="left" w:pos="3099"/>
              </w:tabs>
              <w:adjustRightInd w:val="0"/>
              <w:snapToGrid w:val="0"/>
              <w:spacing w:line="360" w:lineRule="auto"/>
              <w:jc w:val="left"/>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题目自拟</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宋体，小四，1.25倍行距</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不少于</w:t>
            </w:r>
            <w:r>
              <w:rPr>
                <w:rFonts w:hint="eastAsia" w:ascii="仿宋" w:hAnsi="仿宋" w:eastAsia="仿宋" w:cs="仿宋"/>
                <w:color w:val="FF0000"/>
                <w:sz w:val="24"/>
                <w:szCs w:val="24"/>
                <w:lang w:val="en-US" w:eastAsia="zh-CN"/>
              </w:rPr>
              <w:t>10</w:t>
            </w:r>
            <w:r>
              <w:rPr>
                <w:rFonts w:hint="eastAsia" w:ascii="仿宋" w:hAnsi="仿宋" w:eastAsia="仿宋" w:cs="仿宋"/>
                <w:color w:val="FF0000"/>
                <w:sz w:val="24"/>
                <w:szCs w:val="24"/>
              </w:rPr>
              <w:t>00字</w:t>
            </w:r>
            <w:r>
              <w:rPr>
                <w:rFonts w:hint="eastAsia" w:ascii="仿宋" w:hAnsi="仿宋" w:eastAsia="仿宋" w:cs="仿宋"/>
                <w:color w:val="FF0000"/>
                <w:sz w:val="24"/>
                <w:szCs w:val="24"/>
                <w:lang w:eastAsia="zh-CN"/>
              </w:rPr>
              <w:t>。内容太多可后附页，</w:t>
            </w:r>
            <w:r>
              <w:rPr>
                <w:rFonts w:hint="eastAsia" w:ascii="仿宋" w:hAnsi="仿宋" w:eastAsia="仿宋" w:cs="仿宋"/>
                <w:color w:val="FF0000"/>
                <w:sz w:val="24"/>
                <w:szCs w:val="24"/>
              </w:rPr>
              <w:t>提供</w:t>
            </w:r>
            <w:r>
              <w:rPr>
                <w:rFonts w:hint="eastAsia" w:ascii="仿宋" w:hAnsi="仿宋" w:eastAsia="仿宋" w:cs="仿宋"/>
                <w:color w:val="FF0000"/>
                <w:sz w:val="24"/>
                <w:szCs w:val="24"/>
                <w:lang w:eastAsia="zh-CN"/>
              </w:rPr>
              <w:t>企业</w:t>
            </w:r>
            <w:r>
              <w:rPr>
                <w:rFonts w:hint="eastAsia" w:ascii="仿宋" w:hAnsi="仿宋" w:eastAsia="仿宋" w:cs="仿宋"/>
                <w:color w:val="FF0000"/>
                <w:sz w:val="24"/>
                <w:szCs w:val="24"/>
                <w:lang w:val="en-US" w:eastAsia="zh-CN"/>
              </w:rPr>
              <w:t>logo源文件、公司图片2张、创新做法、亮点事迹</w:t>
            </w:r>
            <w:r>
              <w:rPr>
                <w:rFonts w:hint="eastAsia" w:ascii="仿宋" w:hAnsi="仿宋" w:eastAsia="仿宋" w:cs="仿宋"/>
                <w:color w:val="FF0000"/>
                <w:sz w:val="24"/>
                <w:szCs w:val="24"/>
              </w:rPr>
              <w:t>图片3-4张(图片大小在1M以上)</w:t>
            </w:r>
            <w:r>
              <w:rPr>
                <w:rFonts w:hint="eastAsia" w:ascii="仿宋" w:hAnsi="仿宋" w:eastAsia="仿宋" w:cs="仿宋"/>
                <w:color w:val="FF0000"/>
                <w:sz w:val="24"/>
                <w:szCs w:val="24"/>
                <w:lang w:eastAsia="zh-CN"/>
              </w:rPr>
              <w:t>。</w:t>
            </w:r>
          </w:p>
          <w:p>
            <w:pPr>
              <w:tabs>
                <w:tab w:val="left" w:pos="3099"/>
              </w:tabs>
              <w:adjustRightInd w:val="0"/>
              <w:snapToGrid w:val="0"/>
              <w:spacing w:line="360" w:lineRule="auto"/>
              <w:jc w:val="left"/>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报告应包含以下内容：</w:t>
            </w:r>
          </w:p>
          <w:p>
            <w:pPr>
              <w:pStyle w:val="7"/>
              <w:widowControl/>
              <w:numPr>
                <w:ilvl w:val="0"/>
                <w:numId w:val="0"/>
              </w:numPr>
              <w:shd w:val="clear" w:color="auto" w:fill="FFFFFF"/>
              <w:adjustRightInd w:val="0"/>
              <w:snapToGrid w:val="0"/>
              <w:spacing w:line="360" w:lineRule="auto"/>
              <w:ind w:leftChars="0"/>
              <w:outlineLvl w:val="1"/>
              <w:rPr>
                <w:rFonts w:hint="eastAsia" w:ascii="仿宋" w:hAnsi="仿宋" w:eastAsia="仿宋" w:cs="仿宋"/>
                <w:color w:val="FF0000"/>
                <w:kern w:val="2"/>
                <w:sz w:val="24"/>
                <w:szCs w:val="24"/>
                <w:lang w:val="en-US" w:eastAsia="zh-CN" w:bidi="ar-SA"/>
              </w:rPr>
            </w:pPr>
            <w:r>
              <w:rPr>
                <w:rFonts w:hint="eastAsia" w:ascii="仿宋" w:hAnsi="仿宋" w:eastAsia="仿宋" w:cs="仿宋"/>
                <w:color w:val="FF0000"/>
                <w:sz w:val="24"/>
                <w:szCs w:val="24"/>
                <w:lang w:val="en-US" w:eastAsia="zh-CN"/>
              </w:rPr>
              <w:t>1、</w:t>
            </w:r>
            <w:r>
              <w:rPr>
                <w:rFonts w:hint="eastAsia" w:ascii="仿宋" w:hAnsi="仿宋" w:eastAsia="仿宋" w:cs="仿宋"/>
                <w:color w:val="FF0000"/>
                <w:kern w:val="2"/>
                <w:sz w:val="24"/>
                <w:szCs w:val="24"/>
                <w:lang w:val="en-US" w:eastAsia="zh-CN" w:bidi="ar-SA"/>
              </w:rPr>
              <w:t>申报单位基本情况介绍；</w:t>
            </w:r>
          </w:p>
          <w:p>
            <w:pPr>
              <w:tabs>
                <w:tab w:val="left" w:pos="3099"/>
              </w:tabs>
              <w:adjustRightInd w:val="0"/>
              <w:snapToGrid w:val="0"/>
              <w:spacing w:line="360" w:lineRule="auto"/>
              <w:jc w:val="left"/>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2、</w:t>
            </w:r>
            <w:r>
              <w:rPr>
                <w:rFonts w:hint="eastAsia" w:ascii="仿宋" w:hAnsi="仿宋" w:eastAsia="仿宋" w:cs="仿宋"/>
                <w:color w:val="FF0000"/>
                <w:kern w:val="2"/>
                <w:sz w:val="24"/>
                <w:szCs w:val="24"/>
                <w:lang w:val="en-US" w:eastAsia="zh-CN" w:bidi="ar-SA"/>
              </w:rPr>
              <w:t>申报单位</w:t>
            </w:r>
            <w:r>
              <w:rPr>
                <w:rFonts w:hint="eastAsia" w:ascii="仿宋" w:hAnsi="仿宋" w:eastAsia="仿宋" w:cs="仿宋"/>
                <w:color w:val="FF0000"/>
                <w:sz w:val="24"/>
                <w:szCs w:val="24"/>
                <w:lang w:val="en-US" w:eastAsia="zh-CN"/>
              </w:rPr>
              <w:t>根据</w:t>
            </w:r>
            <w:r>
              <w:rPr>
                <w:rFonts w:hint="eastAsia" w:ascii="仿宋" w:hAnsi="仿宋" w:eastAsia="仿宋" w:cs="仿宋"/>
                <w:color w:val="FF0000"/>
                <w:sz w:val="24"/>
                <w:szCs w:val="24"/>
                <w:lang w:eastAsia="zh-CN"/>
              </w:rPr>
              <w:t>评价标准主要执行</w:t>
            </w:r>
            <w:r>
              <w:rPr>
                <w:rFonts w:hint="eastAsia" w:ascii="仿宋" w:hAnsi="仿宋" w:eastAsia="仿宋" w:cs="仿宋"/>
                <w:color w:val="FF0000"/>
                <w:kern w:val="2"/>
                <w:sz w:val="24"/>
                <w:szCs w:val="24"/>
                <w:lang w:val="en-US" w:eastAsia="zh-CN" w:bidi="ar-SA"/>
              </w:rPr>
              <w:t>情况、</w:t>
            </w:r>
            <w:r>
              <w:rPr>
                <w:rFonts w:hint="eastAsia" w:ascii="仿宋" w:hAnsi="仿宋" w:eastAsia="仿宋" w:cs="仿宋"/>
                <w:color w:val="FF0000"/>
                <w:sz w:val="24"/>
                <w:szCs w:val="24"/>
                <w:lang w:eastAsia="zh-CN"/>
              </w:rPr>
              <w:t>典型亮点经验、</w:t>
            </w:r>
            <w:r>
              <w:rPr>
                <w:rFonts w:hint="eastAsia" w:ascii="仿宋" w:hAnsi="仿宋" w:eastAsia="仿宋" w:cs="仿宋"/>
                <w:color w:val="FF0000"/>
                <w:sz w:val="24"/>
                <w:szCs w:val="24"/>
              </w:rPr>
              <w:t>开展</w:t>
            </w:r>
            <w:r>
              <w:rPr>
                <w:rFonts w:hint="eastAsia" w:ascii="仿宋" w:hAnsi="仿宋" w:eastAsia="仿宋" w:cs="仿宋"/>
                <w:color w:val="FF0000"/>
                <w:sz w:val="24"/>
                <w:szCs w:val="24"/>
                <w:lang w:eastAsia="zh-CN"/>
              </w:rPr>
              <w:t>相关</w:t>
            </w:r>
            <w:r>
              <w:rPr>
                <w:rFonts w:hint="eastAsia" w:ascii="仿宋" w:hAnsi="仿宋" w:eastAsia="仿宋" w:cs="仿宋"/>
                <w:color w:val="FF0000"/>
                <w:sz w:val="24"/>
                <w:szCs w:val="24"/>
              </w:rPr>
              <w:t>活动</w:t>
            </w:r>
            <w:r>
              <w:rPr>
                <w:rFonts w:hint="eastAsia" w:ascii="仿宋" w:hAnsi="仿宋" w:eastAsia="仿宋" w:cs="仿宋"/>
                <w:color w:val="FF0000"/>
                <w:sz w:val="24"/>
                <w:szCs w:val="24"/>
                <w:lang w:eastAsia="zh-CN"/>
              </w:rPr>
              <w:t>或案例</w:t>
            </w:r>
            <w:r>
              <w:rPr>
                <w:rFonts w:hint="eastAsia" w:ascii="仿宋" w:hAnsi="仿宋" w:eastAsia="仿宋" w:cs="仿宋"/>
                <w:color w:val="FF0000"/>
                <w:kern w:val="2"/>
                <w:sz w:val="24"/>
                <w:szCs w:val="24"/>
                <w:lang w:val="en-US" w:eastAsia="zh-CN" w:bidi="ar-SA"/>
              </w:rPr>
              <w:t>、</w:t>
            </w:r>
            <w:r>
              <w:rPr>
                <w:rFonts w:hint="eastAsia" w:ascii="仿宋" w:hAnsi="仿宋" w:eastAsia="仿宋" w:cs="仿宋"/>
                <w:color w:val="FF0000"/>
                <w:sz w:val="24"/>
                <w:szCs w:val="24"/>
              </w:rPr>
              <w:t>社会影响等</w:t>
            </w:r>
            <w:r>
              <w:rPr>
                <w:rFonts w:hint="eastAsia" w:ascii="仿宋" w:hAnsi="仿宋" w:eastAsia="仿宋" w:cs="仿宋"/>
                <w:color w:val="FF0000"/>
                <w:kern w:val="2"/>
                <w:sz w:val="24"/>
                <w:szCs w:val="24"/>
                <w:lang w:val="en-US" w:eastAsia="zh-CN" w:bidi="ar-SA"/>
              </w:rPr>
              <w:t>情况。</w:t>
            </w:r>
          </w:p>
          <w:p>
            <w:pPr>
              <w:pStyle w:val="7"/>
              <w:widowControl/>
              <w:numPr>
                <w:ilvl w:val="0"/>
                <w:numId w:val="0"/>
              </w:numPr>
              <w:shd w:val="clear" w:color="auto" w:fill="FFFFFF"/>
              <w:adjustRightInd w:val="0"/>
              <w:snapToGrid w:val="0"/>
              <w:spacing w:line="360" w:lineRule="auto"/>
              <w:ind w:leftChars="0"/>
              <w:jc w:val="left"/>
              <w:outlineLvl w:val="1"/>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52" w:type="dxa"/>
            <w:gridSpan w:val="7"/>
          </w:tcPr>
          <w:p>
            <w:pPr>
              <w:tabs>
                <w:tab w:val="left" w:pos="3099"/>
              </w:tabs>
              <w:snapToGrid w:val="0"/>
              <w:spacing w:before="156" w:beforeLines="50" w:after="156" w:afterLines="5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简要情况说明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052" w:type="dxa"/>
            <w:gridSpan w:val="7"/>
          </w:tcPr>
          <w:p>
            <w:pPr>
              <w:tabs>
                <w:tab w:val="left" w:pos="3099"/>
              </w:tabs>
              <w:adjustRightInd w:val="0"/>
              <w:snapToGrid w:val="0"/>
              <w:spacing w:line="30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FF0000"/>
                <w:sz w:val="24"/>
              </w:rPr>
              <w:t>（必填）宋体，小四，1.25倍行距</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300-400</w:t>
            </w:r>
            <w:r>
              <w:rPr>
                <w:rFonts w:hint="eastAsia" w:ascii="仿宋" w:hAnsi="仿宋" w:eastAsia="仿宋" w:cs="仿宋"/>
                <w:color w:val="FF0000"/>
                <w:sz w:val="24"/>
              </w:rPr>
              <w:t>字</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包括申报单位简介、人员规模、组建工会时间、评价标准执行情况简述。</w:t>
            </w:r>
          </w:p>
          <w:p>
            <w:pPr>
              <w:tabs>
                <w:tab w:val="left" w:pos="3099"/>
              </w:tabs>
              <w:adjustRightInd w:val="0"/>
              <w:snapToGrid w:val="0"/>
              <w:spacing w:line="300" w:lineRule="auto"/>
              <w:jc w:val="left"/>
              <w:rPr>
                <w:rFonts w:hint="eastAsia" w:ascii="仿宋" w:hAnsi="仿宋" w:eastAsia="仿宋" w:cs="仿宋"/>
                <w:color w:val="000000" w:themeColor="text1"/>
                <w:sz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14:textFill>
                  <w14:solidFill>
                    <w14:schemeClr w14:val="tx1"/>
                  </w14:solidFill>
                </w14:textFill>
              </w:rPr>
            </w:pPr>
          </w:p>
          <w:p>
            <w:pPr>
              <w:tabs>
                <w:tab w:val="left" w:pos="3099"/>
              </w:tabs>
              <w:adjustRightInd w:val="0"/>
              <w:snapToGrid w:val="0"/>
              <w:spacing w:line="300" w:lineRule="auto"/>
              <w:jc w:val="left"/>
              <w:rPr>
                <w:rFonts w:hint="eastAsia" w:ascii="仿宋" w:hAnsi="仿宋" w:eastAsia="仿宋" w:cs="仿宋"/>
                <w:color w:val="000000" w:themeColor="text1"/>
                <w:sz w:val="24"/>
                <w14:textFill>
                  <w14:solidFill>
                    <w14:schemeClr w14:val="tx1"/>
                  </w14:solidFill>
                </w14:textFill>
              </w:rPr>
            </w:pPr>
          </w:p>
        </w:tc>
      </w:tr>
    </w:tbl>
    <w:p>
      <w:pPr>
        <w:adjustRightInd w:val="0"/>
        <w:snapToGrid w:val="0"/>
        <w:spacing w:line="300" w:lineRule="auto"/>
        <w:jc w:val="left"/>
        <w:rPr>
          <w:rFonts w:hint="eastAsia" w:ascii="仿宋_GB2312" w:eastAsia="仿宋_GB2312"/>
          <w:b/>
          <w:bCs/>
          <w:color w:val="000000" w:themeColor="text1"/>
          <w:sz w:val="28"/>
          <w:szCs w:val="28"/>
          <w14:textFill>
            <w14:solidFill>
              <w14:schemeClr w14:val="tx1"/>
            </w14:solidFill>
          </w14:textFill>
        </w:rPr>
      </w:pPr>
    </w:p>
    <w:p>
      <w:pPr>
        <w:adjustRightInd w:val="0"/>
        <w:snapToGrid w:val="0"/>
        <w:spacing w:line="300" w:lineRule="auto"/>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注：“推荐单位”指政府部门、企业联合会、行业</w:t>
      </w:r>
      <w:r>
        <w:rPr>
          <w:rFonts w:hint="eastAsia" w:ascii="仿宋" w:hAnsi="仿宋" w:eastAsia="仿宋" w:cs="仿宋"/>
          <w:b/>
          <w:bCs/>
          <w:color w:val="000000" w:themeColor="text1"/>
          <w:sz w:val="28"/>
          <w:szCs w:val="28"/>
          <w:lang w:eastAsia="zh-CN"/>
          <w14:textFill>
            <w14:solidFill>
              <w14:schemeClr w14:val="tx1"/>
            </w14:solidFill>
          </w14:textFill>
        </w:rPr>
        <w:t>协会、</w:t>
      </w:r>
      <w:r>
        <w:rPr>
          <w:rFonts w:hint="eastAsia" w:ascii="仿宋" w:hAnsi="仿宋" w:eastAsia="仿宋" w:cs="仿宋"/>
          <w:b/>
          <w:bCs/>
          <w:color w:val="000000" w:themeColor="text1"/>
          <w:sz w:val="28"/>
          <w:szCs w:val="28"/>
          <w14:textFill>
            <w14:solidFill>
              <w14:schemeClr w14:val="tx1"/>
            </w14:solidFill>
          </w14:textFill>
        </w:rPr>
        <w:t>商协会</w:t>
      </w:r>
      <w:r>
        <w:rPr>
          <w:rFonts w:hint="eastAsia" w:ascii="仿宋" w:hAnsi="仿宋" w:eastAsia="仿宋" w:cs="仿宋"/>
          <w:b/>
          <w:bCs/>
          <w:color w:val="000000" w:themeColor="text1"/>
          <w:sz w:val="28"/>
          <w:szCs w:val="28"/>
          <w:lang w:eastAsia="zh-CN"/>
          <w14:textFill>
            <w14:solidFill>
              <w14:schemeClr w14:val="tx1"/>
            </w14:solidFill>
          </w14:textFill>
        </w:rPr>
        <w:t>、媒体</w:t>
      </w:r>
      <w:r>
        <w:rPr>
          <w:rFonts w:hint="eastAsia" w:ascii="仿宋" w:hAnsi="仿宋" w:eastAsia="仿宋" w:cs="仿宋"/>
          <w:b/>
          <w:bCs/>
          <w:color w:val="000000" w:themeColor="text1"/>
          <w:sz w:val="28"/>
          <w:szCs w:val="28"/>
          <w14:textFill>
            <w14:solidFill>
              <w14:schemeClr w14:val="tx1"/>
            </w14:solidFill>
          </w14:textFill>
        </w:rPr>
        <w:t>等，若企业自行申报则不必填写。</w:t>
      </w:r>
    </w:p>
    <w:p>
      <w:pPr>
        <w:rPr>
          <w:rFonts w:hint="eastAsia"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附件</w:t>
      </w:r>
      <w:r>
        <w:rPr>
          <w:rFonts w:hint="eastAsia" w:ascii="仿宋_GB2312" w:eastAsia="仿宋_GB2312"/>
          <w:b/>
          <w:bCs/>
          <w:color w:val="000000" w:themeColor="text1"/>
          <w:sz w:val="30"/>
          <w:szCs w:val="30"/>
          <w:lang w:val="en-US" w:eastAsia="zh-CN"/>
          <w14:textFill>
            <w14:solidFill>
              <w14:schemeClr w14:val="tx1"/>
            </w14:solidFill>
          </w14:textFill>
        </w:rPr>
        <w:t>2</w:t>
      </w:r>
      <w:r>
        <w:rPr>
          <w:rFonts w:hint="eastAsia" w:ascii="仿宋_GB2312" w:eastAsia="仿宋_GB2312"/>
          <w:b/>
          <w:bCs/>
          <w:color w:val="000000" w:themeColor="text1"/>
          <w:sz w:val="30"/>
          <w:szCs w:val="30"/>
          <w14:textFill>
            <w14:solidFill>
              <w14:schemeClr w14:val="tx1"/>
            </w14:solidFill>
          </w14:textFill>
        </w:rPr>
        <w:t>：</w:t>
      </w:r>
    </w:p>
    <w:p>
      <w:pPr>
        <w:snapToGrid w:val="0"/>
        <w:spacing w:before="156" w:beforeLines="50" w:after="156" w:afterLines="50" w:line="30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一票否决指标</w:t>
      </w:r>
    </w:p>
    <w:tbl>
      <w:tblPr>
        <w:tblStyle w:val="3"/>
        <w:tblW w:w="9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
        <w:gridCol w:w="5845"/>
        <w:gridCol w:w="149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一票否决情况</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有无相关情况（有/无）</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1</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每年劳动人事争议仲裁案件原则上不得超过5件（因企业停产或破产重组导致的、以调解方式结案的、企业诉劳动者及劳动者诉求明显不合理的案件不计算在内）。</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说明：出现前述情况之一的，取消参评资格或和谐劳动关系企业、标杆企业荣誉称号。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2</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企业三年内存在因违反劳动保障法律法规被行政处罚记录，或造成社会不良影响的，不予评选</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3</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企业曾涉及刑事犯罪的，不予评选。</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4</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发生过员工30人以上的游行、罢工或到区以上政府部门集体上访、请愿、静坐；或参与人数5人以上，有阻断交通、妨碍执法、聚众闹事、群体性械斗等影响社会秩序的过激行为的劳动纠纷群体性突发事件。</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5</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发生较大生产安全事故、重大职业病危害事故、重大质量责任事故、重大生态环境责任事故的。</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6</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被列入经营异常名录或违法失信企业名单的。</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7</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未依法建立工会组织的。</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8</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评价认定或复核过程中发现有造假、作弊行为的。</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9</w:t>
            </w:r>
          </w:p>
        </w:tc>
        <w:tc>
          <w:tcPr>
            <w:tcW w:w="58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r>
              <w:rPr>
                <w:rFonts w:hint="eastAsia" w:ascii="仿宋" w:hAnsi="仿宋" w:eastAsia="仿宋" w:cs="仿宋"/>
                <w:color w:val="000000"/>
                <w:sz w:val="22"/>
                <w:szCs w:val="24"/>
              </w:rPr>
              <w:t>发生其他重大违法违规行为的。</w:t>
            </w:r>
          </w:p>
        </w:tc>
        <w:tc>
          <w:tcPr>
            <w:tcW w:w="14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c>
          <w:tcPr>
            <w:tcW w:w="102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9158"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仿宋" w:hAnsi="仿宋" w:eastAsia="仿宋" w:cs="仿宋"/>
                <w:color w:val="000000"/>
                <w:sz w:val="22"/>
                <w:szCs w:val="24"/>
              </w:rPr>
            </w:pPr>
            <w:r>
              <w:rPr>
                <w:rFonts w:hint="eastAsia" w:ascii="仿宋" w:hAnsi="仿宋" w:eastAsia="仿宋" w:cs="仿宋"/>
                <w:color w:val="000000"/>
                <w:sz w:val="22"/>
                <w:szCs w:val="24"/>
              </w:rPr>
              <w:t>备注：生产安全较大事故，是指造成3人以上10人以下死亡，或10人以上50人以下重伤，或1000万元以上5000万元以下直接经济损失的事故；职业病危害重大事故，是指发生急性职业病10人以上50人以下或死亡5人以下，或发生职业性炭疽5人以下的。生态环境重大责任事故，是指导致10人以上30人以下死亡或50人以上100人以下中毒或重伤的，或因环境污染疏散、转移人员1万人以上5万人以下的，或因环境污染造成直接经济损失2000万元以上1亿元以下的。</w:t>
            </w:r>
          </w:p>
        </w:tc>
      </w:tr>
    </w:tbl>
    <w:p>
      <w:pPr>
        <w:rPr>
          <w:rFonts w:hint="eastAsia" w:ascii="仿宋_GB2312" w:eastAsia="仿宋_GB2312"/>
          <w:b/>
          <w:bCs/>
          <w:color w:val="000000" w:themeColor="text1"/>
          <w:sz w:val="32"/>
          <w:szCs w:val="32"/>
          <w14:textFill>
            <w14:solidFill>
              <w14:schemeClr w14:val="tx1"/>
            </w14:solidFill>
          </w14:textFill>
        </w:rPr>
      </w:pPr>
    </w:p>
    <w:p>
      <w:pPr>
        <w:rPr>
          <w:rFonts w:hint="eastAsia"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附件</w:t>
      </w:r>
      <w:r>
        <w:rPr>
          <w:rFonts w:hint="eastAsia" w:ascii="仿宋_GB2312" w:eastAsia="仿宋_GB2312"/>
          <w:b/>
          <w:bCs/>
          <w:color w:val="000000" w:themeColor="text1"/>
          <w:sz w:val="30"/>
          <w:szCs w:val="30"/>
          <w:lang w:val="en-US" w:eastAsia="zh-CN"/>
          <w14:textFill>
            <w14:solidFill>
              <w14:schemeClr w14:val="tx1"/>
            </w14:solidFill>
          </w14:textFill>
        </w:rPr>
        <w:t>3</w:t>
      </w:r>
      <w:r>
        <w:rPr>
          <w:rFonts w:hint="eastAsia" w:ascii="仿宋_GB2312" w:eastAsia="仿宋_GB2312"/>
          <w:b/>
          <w:bCs/>
          <w:color w:val="000000" w:themeColor="text1"/>
          <w:sz w:val="30"/>
          <w:szCs w:val="30"/>
          <w14:textFill>
            <w14:solidFill>
              <w14:schemeClr w14:val="tx1"/>
            </w14:solidFill>
          </w14:textFill>
        </w:rPr>
        <w:t>：</w:t>
      </w:r>
    </w:p>
    <w:p>
      <w:pPr>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和谐劳动关系企业评价标准</w:t>
      </w:r>
    </w:p>
    <w:p>
      <w:pPr>
        <w:jc w:val="center"/>
        <w:rPr>
          <w:rFonts w:hint="eastAsia" w:ascii="宋体" w:hAnsi="宋体" w:eastAsia="宋体" w:cs="宋体"/>
          <w:b/>
          <w:bCs/>
          <w:color w:val="000000" w:themeColor="text1"/>
          <w:sz w:val="21"/>
          <w:szCs w:val="21"/>
          <w14:textFill>
            <w14:solidFill>
              <w14:schemeClr w14:val="tx1"/>
            </w14:solidFill>
          </w14:textFill>
        </w:rPr>
      </w:pPr>
    </w:p>
    <w:tbl>
      <w:tblPr>
        <w:tblStyle w:val="3"/>
        <w:tblW w:w="9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7"/>
        <w:gridCol w:w="1433"/>
        <w:gridCol w:w="5292"/>
        <w:gridCol w:w="1315"/>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4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一级指标</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二级指标</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是否得分</w:t>
            </w:r>
          </w:p>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w:t>
            </w:r>
          </w:p>
        </w:tc>
        <w:tc>
          <w:tcPr>
            <w:tcW w:w="9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规范劳动合同管理（10分）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无就业歧视和就业欺诈行为，无扣押劳动者身份证或其他证件、向劳动者收取财物或担保，进行乙肝、孕检等违法违规体检等行为。（2分）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自用工之日起一个月内与员工签订书面劳动合同；劳动合同内容应合法、清晰、明确；劳动合同应签尽签。（2分）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劳动合同在订立、履行、变更、续签、解除和终止时程序和形式合法、行为规范，及时出具解除或终止劳动合同的书面证明，并按规定支付经济补偿等。（3分）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备有完整的职工名册；如有招用外国人和港澳台人员就业的，按规定办理就业许可手续；依法使用劳务派遣员工。</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依法制定劳动用工规章制度（10分）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按照法定程序制定或修改用工管理规章制度，规章制度内容合法、清晰明确，没有与法律法规相抵触的内容。（2分）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用工管理规章制度中应当包含考勤与休假制度、劳动安全卫生制度、员工福利制度、招聘与离职制度。（2分）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制定、修改、决定涉及员工切身利益的规章制度或重大事项时，经职工代表大会或者全体职工讨论，提出方案和意见，与工会或者职工代表平等协商确定。（4分）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规章制度通过公示等有效方式及时告知每个员工。（2分）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建立并落实职工收入分配制度（12分）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依法制定企业薪酬制度，合理设置生产或工作流程，科学定岗定额。薪资标准应当符合本地区经济发展水平，定额标准能够确保同岗位绝大多数员工在法定工作时间内完成，并经职工代表大会或者全体职工讨论通过。（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遵循按劳分配原则，与员工就工资标准、分配形式、支付办法、调整机制、试用期、病事假期间工资待遇，以及其他有关工资事项依法定期开展工资集体协商，实行同工同酬。（3分）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建立工资正常调整制度，依照工资指导线、人力资源市场工资指导价位、物价指数等，对企业工资标准进行定期调整，使员工工资水平与企业经济效益相协调。（3分）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按时足额支付职工工资，按照工资支付周期如实编制工资支付台账。（3分）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落实社会保险与公积金制度（10分）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依法为员工办理社会保险登记，参加养老、失业、工伤、医疗、生育五项职工社会保险，按规定申报、缴纳各项社会保险费用，年度内企业无发生追溯补缴或欠缴等违规情形。</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按规定为职工办理享受社会保险待遇手续。及时协助劳动者办理工伤认定、劳动能力等级鉴定、生育保险就医确认、生育津贴等手续，并及时支付有关工伤、生育保险等待遇，确保职工能够依法享受社保待遇。（4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办理住房公积金缴存登记，为单位职工按时、足额缴存住房公积金。（3分）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保障劳动者工作时间和休假权利（12分）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企业应明确告知劳动者工时制度，是执行标准工作时间，或经人力资源社会保障部门批准后实行不定时工作制或综合计算工时工作制。（2分）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规范的考勤制度，严格执行工时管理规定，因生产经营需要安排员工延长工作时间的，事前与工会或职工本人协商，延长工作时间后依法足额支付员工加班工资并在工资清单中列明，没有强迫加班、超时加班行为。（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严格落实带薪年休假制度，充分尊重员工本人的休假意愿。（2分）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依法保障员工享受产假、陪产假、哺乳假、育儿假、独生子女护理假等假期。（3分）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严格执行国家有关女职工、未成年工特殊劳动保护规定。（2分）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依法建立工会，积极建立集体协商和集体合同制度（12分）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依法建立工会组织，建立工会委员会、工会经费审查委员会、工会女职工委员会和工会劳动法律监督委员会，并依法保障工会工作的人员、时间、场地和经费，定期组织工会活动。（3分）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依法建立职工（代表）大会制度，定期召开大会并确保其决定、决议得到落实；依法建立厂务公开制度，及时反馈职工建议；公司制企业依法建立职工董事、职工监事制度。（3分）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建立常态化集体协商机制，或参加区域性、行业性集体协商，定期组织对重大事项进行集体协商，并对职工公布协商情况。（3分）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与员工进行充分协商，就劳动报酬、工作时间、休息休假、保险福利、劳动安全卫生、女职工权益保护、工资调整机制等事项签订内容具体、标准量化、操作性强的集体合同或专项集体合同，并结合企业实际情况全面履行。集体合同草案提交职工代表大会或者全体职工讨论通过。订立集体合同后，按规定及时报人力资源和社会保障部门审查备案并全面履行。（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全面完善安全生产制度（12分）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建立健全安全生产规章制度，建立事故应急预案并定期演练，如实告知工作风险和职工职业病危害，对管理人员和特种作业人员进行安全培训并持证上岗。（3分）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生产经营场所和设备、设施符合国家有关标准和规定，消防设施符合要求、安全警示标志明显，按规定开展安全生产标准化建设，经常性组织安全检查并及时整改事故隐患，建立安全隐患定期清查制度，以及伤亡事故和职业病统计报告和处理制度。（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严格遵守国家卫生标准，提供安全健康的工作环境，采用有效的职业病防护措施，为职工提供个人使用的职业病防护用品，落实有毒有害劳动场所定期检测和岗位人员定期体检，注重女职工和未成年工特殊保护。（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未发生造成人员伤亡的恶性生产责任事故或职业病危害事件。（3分）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建立员工关怀与职业培训机制（6分）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注重工作环境的改善及生活设施的配备，包括办公场所、文体活动场所、职工宿舍、食堂等设施。（2分）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每年定期组织员工参加文娱体育等集体活动，注重职工心理诉求，开通心理咨询热线等，关怀员工精神文化生活。（2分）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建立岗位培训、技能比赛、在线学习等多种培训机制，积极提升员工知识水平和技能水平，帮助企业职工建立职业生涯规划，完善职工发展机制，促进员工队伍科学文化素质和专业技能水平逐年提高。（2分）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贯彻落实劳动保障政策规定，积极配合政府劳动就业有关工作（6分）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完成政策规定人员的接收安置任务。安置残疾人就业比例达到国家规定的要求或按照政府规定依法缴纳残疾人就业保障金。（2分）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积极配合政府推进异地务工人员积分制入户、职工教育等配套社会公共服务，积极支持配合政府部门开展“人工成本监测”、“薪酬调查”等工作。（4分）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4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建立企业内部协调机制（10分）</w:t>
            </w: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建立企业劳动争议调解组织，人员组成结构合理，有配备经培训合格持有调解员证的调解员和经国家职业资格鉴定或社会化职业技能认定的劳动关系协调员。（4分）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7"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发生纠纷企业内部优先调解，调解记录完整，调解成功率达到60%以上，并纳入相关部门考核指标。（3分）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87"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p>
        </w:tc>
        <w:tc>
          <w:tcPr>
            <w:tcW w:w="14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p>
        </w:tc>
        <w:tc>
          <w:tcPr>
            <w:tcW w:w="529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建立完善的劳动关系风险防范预警机制，打通普通员工与管理层上下沟通渠道，员工投诉能够得到及时反馈，能够及时发现并妥善调处劳动争议和影响稳定的苗头性、倾向性问题。（3分）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c>
          <w:tcPr>
            <w:tcW w:w="906"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12"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注：二级指标中存在任一不符合要求行为，该二级指标直接不得分。</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总分</w:t>
            </w:r>
          </w:p>
        </w:tc>
        <w:tc>
          <w:tcPr>
            <w:tcW w:w="9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r>
    </w:tbl>
    <w:p>
      <w:pPr>
        <w:rPr>
          <w:rFonts w:hint="eastAsia" w:ascii="仿宋_GB2312" w:eastAsia="仿宋_GB2312"/>
          <w:b/>
          <w:bCs/>
          <w:color w:val="000000" w:themeColor="text1"/>
          <w:sz w:val="30"/>
          <w:szCs w:val="30"/>
          <w14:textFill>
            <w14:solidFill>
              <w14:schemeClr w14:val="tx1"/>
            </w14:solidFill>
          </w14:textFill>
        </w:rPr>
      </w:pPr>
    </w:p>
    <w:p>
      <w:pP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br w:type="page"/>
      </w:r>
    </w:p>
    <w:p>
      <w:pPr>
        <w:rPr>
          <w:rFonts w:hint="eastAsia"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附件</w:t>
      </w:r>
      <w:r>
        <w:rPr>
          <w:rFonts w:hint="eastAsia" w:ascii="仿宋_GB2312" w:eastAsia="仿宋_GB2312"/>
          <w:b/>
          <w:bCs/>
          <w:color w:val="000000" w:themeColor="text1"/>
          <w:sz w:val="30"/>
          <w:szCs w:val="30"/>
          <w:lang w:val="en-US" w:eastAsia="zh-CN"/>
          <w14:textFill>
            <w14:solidFill>
              <w14:schemeClr w14:val="tx1"/>
            </w14:solidFill>
          </w14:textFill>
        </w:rPr>
        <w:t>4</w:t>
      </w:r>
      <w:r>
        <w:rPr>
          <w:rFonts w:hint="eastAsia" w:ascii="仿宋_GB2312" w:eastAsia="仿宋_GB2312"/>
          <w:b/>
          <w:bCs/>
          <w:color w:val="000000" w:themeColor="text1"/>
          <w:sz w:val="30"/>
          <w:szCs w:val="30"/>
          <w14:textFill>
            <w14:solidFill>
              <w14:schemeClr w14:val="tx1"/>
            </w14:solidFill>
          </w14:textFill>
        </w:rPr>
        <w:t>：</w:t>
      </w:r>
    </w:p>
    <w:p>
      <w:pPr>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和谐劳动关系标杆企业评价标准</w:t>
      </w:r>
    </w:p>
    <w:p>
      <w:pPr>
        <w:jc w:val="center"/>
        <w:rPr>
          <w:rFonts w:hint="eastAsia" w:ascii="宋体" w:hAnsi="宋体" w:eastAsia="宋体" w:cs="宋体"/>
          <w:b/>
          <w:bCs/>
          <w:color w:val="000000" w:themeColor="text1"/>
          <w:sz w:val="21"/>
          <w:szCs w:val="21"/>
          <w14:textFill>
            <w14:solidFill>
              <w14:schemeClr w14:val="tx1"/>
            </w14:solidFill>
          </w14:textFill>
        </w:rPr>
      </w:pPr>
    </w:p>
    <w:tbl>
      <w:tblPr>
        <w:tblStyle w:val="3"/>
        <w:tblW w:w="9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738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是否得分</w:t>
            </w:r>
          </w:p>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建立基于岗位价值、能力素质、技能水平、业绩贡献的工资分配机制，探索完善体现劳动、知识、技术、管理等要素价值的工资决定机制，根据企业效益着力增加一线职工、技术骨干的劳动报酬。（10分）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实施效益分成、员工持股、期权激励等薪酬激励机制，探索实行多层次的事业合伙人制度，实现发展共创、风险共担、成果共享，打造企业与员工的利益共同体、事业共同体、命运共同体。（10分）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职工人均工资水平高于佛山市城镇非私营单位在岗职工平均工资水平。（10分）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企业在评定期内被认定为广东省高新技术企业、获评市级及以上表彰的先进企业党组织或其他市级及以上荣誉的。（10分）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积极引进佛山市紧缺高层次人才、紧缺高技能人才和高端人才。（10分）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建立产教融合、工学结合的培训机制，开展校企合作，建立培训中心或企业大学。（10分）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建立党组织和党员联系服务职工制度，充分发挥党组织和党员在搜集和反馈职工意见、加强企业与职工沟通方面的重要作用。（10分）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建立员工服务中心，为员工提供就业服务、社会保障、社会救助、子女就学、幼托等方面的帮助。（10分）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建立企业劳动争议调解组织，发生纠纷企业内部优先调解，调解记录完整，案卷成册归档，调解成功率达到75%以上，并纳入相关部门考核指标。（10分）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7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color w:val="000000"/>
                <w:sz w:val="24"/>
                <w:szCs w:val="24"/>
              </w:rPr>
              <w:t>其他具有引领性、示范性、创新性的工作（另附材料）。（10分）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jc w:val="center"/>
        </w:trPr>
        <w:tc>
          <w:tcPr>
            <w:tcW w:w="811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注：在和谐劳动关系企业评选基础之上，部分优秀企业在和谐劳动关系创建中有较佳的社会口碑，满足上述部分要求，可根据评分高低评选为“和谐劳动关系标杆企业”。</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总分：</w:t>
            </w:r>
          </w:p>
        </w:tc>
      </w:tr>
    </w:tbl>
    <w:p>
      <w:pPr>
        <w:jc w:val="center"/>
        <w:rPr>
          <w:rFonts w:hint="eastAsia" w:ascii="宋体" w:hAnsi="宋体" w:eastAsia="宋体" w:cs="宋体"/>
          <w:b/>
          <w:bCs/>
          <w:color w:val="000000" w:themeColor="text1"/>
          <w:sz w:val="36"/>
          <w:szCs w:val="36"/>
          <w14:textFill>
            <w14:solidFill>
              <w14:schemeClr w14:val="tx1"/>
            </w14:solidFill>
          </w14:textFill>
        </w:rPr>
      </w:pP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6349"/>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WI2NjcwNWJlMjYzMGQ5ZWVjOGVhZWY0NTc2OTEifQ=="/>
  </w:docVars>
  <w:rsids>
    <w:rsidRoot w:val="00172A27"/>
    <w:rsid w:val="04247A3B"/>
    <w:rsid w:val="05D603FF"/>
    <w:rsid w:val="11BC3248"/>
    <w:rsid w:val="294F6E51"/>
    <w:rsid w:val="555014CE"/>
    <w:rsid w:val="5BD87BBE"/>
    <w:rsid w:val="63415582"/>
    <w:rsid w:val="6B6E0043"/>
    <w:rsid w:val="6BA26812"/>
    <w:rsid w:val="6BA32908"/>
    <w:rsid w:val="6CBA66F0"/>
    <w:rsid w:val="6D1E1AB1"/>
    <w:rsid w:val="790E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4440</Words>
  <Characters>4511</Characters>
  <Lines>0</Lines>
  <Paragraphs>0</Paragraphs>
  <TotalTime>2</TotalTime>
  <ScaleCrop>false</ScaleCrop>
  <LinksUpToDate>false</LinksUpToDate>
  <CharactersWithSpaces>4638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2023-06-28T09:40:00Z</dcterms:created>
  <dc:creator>Mr丶末</dc:creator>
  <cp:lastModifiedBy>李思源</cp:lastModifiedBy>
  <dcterms:modified xsi:type="dcterms:W3CDTF">2023-08-17T02:18:59Z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61E53B7928624795B3285A0060FA94A9_11</vt:lpwstr>
  </property>
</Properties>
</file>